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9" w:rsidRPr="00E25716" w:rsidRDefault="00A53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5716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A53229" w:rsidRDefault="00A53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наказу Міністерства оборони України </w:t>
      </w:r>
    </w:p>
    <w:p w:rsidR="00A53229" w:rsidRDefault="00A53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“Про затвердження Правил державної авіації України з питань підтримання льотної придатності”</w:t>
      </w:r>
    </w:p>
    <w:p w:rsidR="00DF78EF" w:rsidRDefault="00DF78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Обґрунтування необхідності видання наказу</w:t>
      </w:r>
    </w:p>
    <w:p w:rsidR="00A53229" w:rsidRDefault="00A5322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наказу Міністерства оборони України “Про затвердження Правил державної авіації України з питань підтримання льотної придатності” розроблено на виконання положень Повітряного кодексу України.</w:t>
      </w:r>
    </w:p>
    <w:p w:rsidR="00A53229" w:rsidRDefault="00A53229" w:rsidP="00A02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проекту наказу обумовлене необхідністю приведення діяльності у галузі державної авіації до визнаних норм і правил шляхом гармонізації з вимогами європейських </w:t>
      </w:r>
      <w:r w:rsidR="009705BA">
        <w:rPr>
          <w:rFonts w:ascii="Times New Roman" w:hAnsi="Times New Roman"/>
          <w:sz w:val="28"/>
          <w:szCs w:val="28"/>
          <w:lang w:val="uk-UA"/>
        </w:rPr>
        <w:t xml:space="preserve">авіаційних правил та документів </w:t>
      </w:r>
      <w:r>
        <w:rPr>
          <w:rFonts w:ascii="Times New Roman" w:hAnsi="Times New Roman"/>
          <w:sz w:val="28"/>
          <w:szCs w:val="28"/>
          <w:lang w:val="uk-UA"/>
        </w:rPr>
        <w:t>EASA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Aviation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Safety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Agency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(EASA) – Європейське авіаційне Агентство з безпеки польотів)</w:t>
      </w:r>
      <w:r w:rsidR="00A02C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02CDF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одатк</w:t>
      </w:r>
      <w:r w:rsidR="00A02CD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A02CDF">
        <w:rPr>
          <w:rFonts w:ascii="Times New Roman" w:hAnsi="Times New Roman"/>
          <w:sz w:val="28"/>
          <w:szCs w:val="28"/>
          <w:lang w:val="uk-UA"/>
        </w:rPr>
        <w:t>-ІV</w:t>
      </w:r>
      <w:r>
        <w:rPr>
          <w:rFonts w:ascii="Times New Roman" w:hAnsi="Times New Roman"/>
          <w:sz w:val="28"/>
          <w:szCs w:val="28"/>
          <w:lang w:val="uk-UA"/>
        </w:rPr>
        <w:t xml:space="preserve"> (Part-М</w:t>
      </w:r>
      <w:r w:rsidR="00A02C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2CDF" w:rsidRPr="00A02CDF">
        <w:rPr>
          <w:rFonts w:ascii="Times New Roman" w:hAnsi="Times New Roman"/>
          <w:sz w:val="28"/>
          <w:szCs w:val="28"/>
          <w:lang w:val="uk-UA"/>
        </w:rPr>
        <w:t xml:space="preserve">Part-145, </w:t>
      </w:r>
      <w:r w:rsidR="00A02CDF">
        <w:rPr>
          <w:rFonts w:ascii="Times New Roman" w:hAnsi="Times New Roman"/>
          <w:sz w:val="28"/>
          <w:szCs w:val="28"/>
          <w:lang w:val="uk-UA"/>
        </w:rPr>
        <w:br/>
      </w:r>
      <w:r w:rsidR="00A02CDF" w:rsidRPr="00A02CDF">
        <w:rPr>
          <w:rFonts w:ascii="Times New Roman" w:hAnsi="Times New Roman"/>
          <w:sz w:val="28"/>
          <w:szCs w:val="28"/>
          <w:lang w:val="uk-UA"/>
        </w:rPr>
        <w:t>Part-66, Part-147</w:t>
      </w:r>
      <w:r>
        <w:rPr>
          <w:rFonts w:ascii="Times New Roman" w:hAnsi="Times New Roman"/>
          <w:sz w:val="28"/>
          <w:szCs w:val="28"/>
          <w:lang w:val="uk-UA"/>
        </w:rPr>
        <w:t>) до Регламенту Комісії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Commission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Regulation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(EU)) Європейського Союзу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Union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від 26 листопада 2014 року №</w:t>
      </w:r>
      <w:r w:rsidR="00A02CDF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1321/2014 та Європейських військових вимог з льотної придатності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Military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Airworthiness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Requirements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EMAR М</w:t>
      </w:r>
      <w:r w:rsidR="00A02CDF">
        <w:rPr>
          <w:rFonts w:ascii="Times New Roman" w:hAnsi="Times New Roman"/>
          <w:sz w:val="28"/>
          <w:szCs w:val="28"/>
          <w:lang w:val="uk-UA"/>
        </w:rPr>
        <w:t>, EMAR 145, EMAR 66, EMAR 147</w:t>
      </w:r>
      <w:r>
        <w:rPr>
          <w:rFonts w:ascii="Times New Roman" w:hAnsi="Times New Roman"/>
          <w:sz w:val="28"/>
          <w:szCs w:val="28"/>
          <w:lang w:val="uk-UA"/>
        </w:rPr>
        <w:t>, схвалених Форумом військових органів з льотної придатності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Military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Airworthiness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Authorities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Forum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(MAWA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Forum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)) під егідою Європейського оборонного агентства </w:t>
      </w:r>
      <w:r w:rsidR="00A02CDF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A02CDF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="00A02C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2CDF">
        <w:rPr>
          <w:rFonts w:ascii="Times New Roman" w:hAnsi="Times New Roman"/>
          <w:sz w:val="28"/>
          <w:szCs w:val="28"/>
          <w:lang w:val="uk-UA"/>
        </w:rPr>
        <w:t>Defence</w:t>
      </w:r>
      <w:proofErr w:type="spellEnd"/>
      <w:r w:rsidR="00A02C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2CDF">
        <w:rPr>
          <w:rFonts w:ascii="Times New Roman" w:hAnsi="Times New Roman"/>
          <w:sz w:val="28"/>
          <w:szCs w:val="28"/>
          <w:lang w:val="uk-UA"/>
        </w:rPr>
        <w:t>Agency</w:t>
      </w:r>
      <w:proofErr w:type="spellEnd"/>
      <w:r w:rsidR="00A02CDF">
        <w:rPr>
          <w:rFonts w:ascii="Times New Roman" w:hAnsi="Times New Roman"/>
          <w:sz w:val="28"/>
          <w:szCs w:val="28"/>
          <w:lang w:val="uk-UA"/>
        </w:rPr>
        <w:t xml:space="preserve"> (EDA)).</w:t>
      </w:r>
    </w:p>
    <w:p w:rsidR="00A53229" w:rsidRDefault="00A53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і шляхи її досягнення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видання наказу є: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в державній авіації України європейських технічних правил і стандартів щодо льотної придатності авіаційної техніки;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затвердження Правил державної авіації України з питань </w:t>
      </w:r>
      <w:r w:rsidR="00BE1EA8">
        <w:rPr>
          <w:rFonts w:ascii="Times New Roman" w:hAnsi="Times New Roman"/>
          <w:sz w:val="28"/>
          <w:szCs w:val="28"/>
          <w:lang w:val="uk-UA"/>
        </w:rPr>
        <w:t>підтримання льотної придатності;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визначення компетентного органу щодо </w:t>
      </w:r>
      <w:r w:rsidR="00554701">
        <w:rPr>
          <w:rFonts w:ascii="Times New Roman" w:hAnsi="Times New Roman"/>
          <w:sz w:val="28"/>
          <w:szCs w:val="28"/>
          <w:lang w:val="uk-UA"/>
        </w:rPr>
        <w:t>реалізації положень цих Правил.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Правові аспекти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відповідній сфері суспільних відносин діють:</w:t>
      </w:r>
    </w:p>
    <w:p w:rsidR="00A53229" w:rsidRDefault="00A5322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Повітряний кодекс України;</w:t>
      </w:r>
    </w:p>
    <w:p w:rsidR="00A53229" w:rsidRDefault="00A5322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Господарський кодекс України;</w:t>
      </w:r>
    </w:p>
    <w:p w:rsidR="00A53229" w:rsidRDefault="00A5322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про Міністерство оборони України, затверджене постановою Ка</w:t>
      </w:r>
      <w:r w:rsidR="00E21589">
        <w:rPr>
          <w:rFonts w:ascii="Times New Roman" w:hAnsi="Times New Roman"/>
          <w:sz w:val="28"/>
          <w:szCs w:val="28"/>
          <w:lang w:val="uk-UA"/>
        </w:rPr>
        <w:t xml:space="preserve">бінету Міністрів України від 26 листопада </w:t>
      </w:r>
      <w:r>
        <w:rPr>
          <w:rFonts w:ascii="Times New Roman" w:hAnsi="Times New Roman"/>
          <w:sz w:val="28"/>
          <w:szCs w:val="28"/>
          <w:lang w:val="uk-UA"/>
        </w:rPr>
        <w:t>2014 року № 671.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Фінансово-економічне обґрунтування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Видання наказу не потребує додаткових фінансових витрат з Державного бюджету України.</w:t>
      </w: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Позиція заінтересованих органів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наказу потребує погодження з Міністерством внутрішніх справ України, </w:t>
      </w:r>
      <w:r w:rsidR="00E17777" w:rsidRPr="00960DC0">
        <w:rPr>
          <w:rFonts w:ascii="Times New Roman" w:hAnsi="Times New Roman"/>
          <w:sz w:val="28"/>
          <w:szCs w:val="28"/>
          <w:lang w:val="uk-UA"/>
        </w:rPr>
        <w:t xml:space="preserve">Міністерством освіти і науки України, </w:t>
      </w:r>
      <w:r>
        <w:rPr>
          <w:rFonts w:ascii="Times New Roman" w:hAnsi="Times New Roman"/>
          <w:sz w:val="28"/>
          <w:szCs w:val="28"/>
          <w:lang w:val="uk-UA"/>
        </w:rPr>
        <w:t>Адміністрацією Державної прикордонної служби України, Державною службою України з надзвичайних ситуацій, Державною регуляторною службою України</w:t>
      </w:r>
      <w:r w:rsidR="004960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6027" w:rsidRPr="00FE283B">
        <w:rPr>
          <w:rFonts w:ascii="Times New Roman" w:hAnsi="Times New Roman"/>
          <w:sz w:val="28"/>
          <w:szCs w:val="28"/>
          <w:lang w:val="uk-UA"/>
        </w:rPr>
        <w:t>Державною авіаційною службою України</w:t>
      </w:r>
      <w:r w:rsidRPr="00FE283B">
        <w:rPr>
          <w:rFonts w:ascii="Times New Roman" w:hAnsi="Times New Roman"/>
          <w:sz w:val="28"/>
          <w:szCs w:val="28"/>
          <w:lang w:val="uk-UA"/>
        </w:rPr>
        <w:t>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Регіональний аспект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наказу не стосується розвитку адміністративно-територіальних одиниць України.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shd w:val="clear" w:color="auto" w:fill="FFFFFF"/>
        <w:tabs>
          <w:tab w:val="left" w:pos="1152"/>
        </w:tabs>
        <w:spacing w:after="0" w:line="240" w:lineRule="auto"/>
        <w:ind w:right="1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Запобігання дискримінації</w:t>
      </w:r>
    </w:p>
    <w:p w:rsidR="00A53229" w:rsidRDefault="00A53229">
      <w:pPr>
        <w:shd w:val="clear" w:color="auto" w:fill="FFFFFF"/>
        <w:tabs>
          <w:tab w:val="left" w:pos="1152"/>
        </w:tabs>
        <w:spacing w:after="0" w:line="240" w:lineRule="auto"/>
        <w:ind w:right="1"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53229" w:rsidRDefault="00A53229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проекті наказу відсутні положення, які містять ознаки дискримінації. Проект наказу не потребує проведення громадської антидискримінаційної експертизи.</w:t>
      </w:r>
    </w:p>
    <w:p w:rsidR="00A53229" w:rsidRDefault="00A53229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корупції</w:t>
      </w:r>
    </w:p>
    <w:p w:rsidR="00A53229" w:rsidRDefault="00A5322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проекті наказу відсутні правила і процедури, які можуть містити ризики вчинення корупційних правопорушень. Проект наказу не потребує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громадської антикорупційної експертизи.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Громадське обговорення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наказу не потребує проведення консультацій з громадськістю.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Позиція соціальних партнерів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наказу не стосується соціально-трудової сфери.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Оцінка регуляторного впливу</w:t>
      </w:r>
    </w:p>
    <w:p w:rsidR="00A53229" w:rsidRDefault="00A5322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Проект наказу є регуляторним актом.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Негативних результатів від прийняття та застосування регуляторного акту не вбачається.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Досягнення запропонованим регуляторним актом встановлених цілей є можливим без витрат для суб’єктів господарювання.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наказу відповідають принципам державної регуляторної політики.</w:t>
      </w:r>
    </w:p>
    <w:p w:rsidR="00A53229" w:rsidRDefault="00A53229" w:rsidP="00B12A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DB5" w:rsidRDefault="00174DB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Вплив реалізації документу на ринок праці.</w:t>
      </w:r>
    </w:p>
    <w:p w:rsidR="00A53229" w:rsidRDefault="00A5322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проекту наказу не впливає на ринок праці.</w:t>
      </w:r>
    </w:p>
    <w:p w:rsidR="00A53229" w:rsidRDefault="00A5322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Прогноз результатів</w:t>
      </w:r>
    </w:p>
    <w:p w:rsidR="00A53229" w:rsidRDefault="00A53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наказу Міністерства оборони України </w:t>
      </w:r>
      <w:r w:rsidR="00C9434E">
        <w:rPr>
          <w:rFonts w:ascii="Times New Roman" w:hAnsi="Times New Roman"/>
          <w:sz w:val="28"/>
          <w:szCs w:val="28"/>
          <w:lang w:val="uk-UA"/>
        </w:rPr>
        <w:t xml:space="preserve">“Про затвердження </w:t>
      </w:r>
      <w:r>
        <w:rPr>
          <w:rFonts w:ascii="Times New Roman" w:hAnsi="Times New Roman"/>
          <w:sz w:val="28"/>
          <w:szCs w:val="28"/>
          <w:lang w:val="uk-UA"/>
        </w:rPr>
        <w:t>Правил державної авіації України з питань підтримання льотної придатності</w:t>
      </w:r>
      <w:r w:rsidR="00C9434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дозволить встановити вимоги та процедури щодо підтримання льотної придатності повітряних суден, внесених до реєстру державних повітряних суден, які належать до військової техніки, включаючи технічне обслуговування та ремонт, а також компонентів, що призначені для встановлення на них, схвалення організацій з технічного обслуговування та ремонту авіаційної техніки державної авіації, схвалення організацій з підготовки авіаційного персоналу державної авіації до технічного обслуговування державних повітряних суден та видачі свідоцтв авіаційному персоналу з технічного обслуговування авіаційної техніки державної авіації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зазначених вище заходів дозволить підвищити рівень безпеки польотів та конкурентоспроможності продукції та послуг, які надаються організаціями України в галузі державної авіації, що максимально відповідатимуть європейським технічним правилам і стандартам щодо льотної придатності авіаційної техніки.</w:t>
      </w:r>
    </w:p>
    <w:p w:rsidR="00A53229" w:rsidRDefault="00A53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229" w:rsidRDefault="00A53229" w:rsidP="00555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5F23" w:rsidRDefault="00555F23" w:rsidP="00555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виконуючий обов’язки н</w:t>
      </w:r>
      <w:r w:rsidRPr="0076384E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638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5F23" w:rsidRPr="0076384E" w:rsidRDefault="00555F23" w:rsidP="00555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6384E">
        <w:rPr>
          <w:rFonts w:ascii="Times New Roman" w:hAnsi="Times New Roman"/>
          <w:sz w:val="28"/>
          <w:szCs w:val="28"/>
          <w:lang w:val="uk-UA"/>
        </w:rPr>
        <w:t xml:space="preserve">Управління регулювання діяльності </w:t>
      </w:r>
    </w:p>
    <w:p w:rsidR="00555F23" w:rsidRDefault="00555F23" w:rsidP="00555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6384E">
        <w:rPr>
          <w:rFonts w:ascii="Times New Roman" w:hAnsi="Times New Roman"/>
          <w:sz w:val="28"/>
          <w:szCs w:val="28"/>
          <w:lang w:val="uk-UA"/>
        </w:rPr>
        <w:t>державної авіації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555F23" w:rsidRPr="00925AD5" w:rsidRDefault="00555F23" w:rsidP="00555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полковник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Ю.М.ПОЛЯКОВ</w:t>
      </w:r>
    </w:p>
    <w:p w:rsidR="00A53229" w:rsidRDefault="00A53229" w:rsidP="00555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53229" w:rsidSect="00131AB7">
      <w:headerReference w:type="default" r:id="rId8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17" w:rsidRDefault="00C86617">
      <w:pPr>
        <w:spacing w:after="0" w:line="240" w:lineRule="auto"/>
      </w:pPr>
      <w:r>
        <w:separator/>
      </w:r>
    </w:p>
  </w:endnote>
  <w:endnote w:type="continuationSeparator" w:id="0">
    <w:p w:rsidR="00C86617" w:rsidRDefault="00C8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17" w:rsidRDefault="00C86617">
      <w:pPr>
        <w:spacing w:after="0" w:line="240" w:lineRule="auto"/>
      </w:pPr>
      <w:r>
        <w:separator/>
      </w:r>
    </w:p>
  </w:footnote>
  <w:footnote w:type="continuationSeparator" w:id="0">
    <w:p w:rsidR="00C86617" w:rsidRDefault="00C8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E2" w:rsidRDefault="001516E2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E25716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14"/>
    <w:multiLevelType w:val="hybridMultilevel"/>
    <w:tmpl w:val="C41C0B6C"/>
    <w:lvl w:ilvl="0" w:tplc="9ABA4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6E24EC"/>
    <w:multiLevelType w:val="hybridMultilevel"/>
    <w:tmpl w:val="CB2850F8"/>
    <w:lvl w:ilvl="0" w:tplc="B2D05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A15382"/>
    <w:multiLevelType w:val="hybridMultilevel"/>
    <w:tmpl w:val="E30E4104"/>
    <w:lvl w:ilvl="0" w:tplc="CB38DA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73E15"/>
    <w:multiLevelType w:val="hybridMultilevel"/>
    <w:tmpl w:val="B77CB27C"/>
    <w:lvl w:ilvl="0" w:tplc="0EC021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C764AB4"/>
    <w:multiLevelType w:val="hybridMultilevel"/>
    <w:tmpl w:val="DD802ECA"/>
    <w:lvl w:ilvl="0" w:tplc="EC8C5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29"/>
    <w:rsid w:val="00081A3F"/>
    <w:rsid w:val="00131AB7"/>
    <w:rsid w:val="001516E2"/>
    <w:rsid w:val="00174DB5"/>
    <w:rsid w:val="001F0701"/>
    <w:rsid w:val="00251FEE"/>
    <w:rsid w:val="004407D7"/>
    <w:rsid w:val="00444B2C"/>
    <w:rsid w:val="00476FF6"/>
    <w:rsid w:val="00496027"/>
    <w:rsid w:val="00554701"/>
    <w:rsid w:val="00555F23"/>
    <w:rsid w:val="005E2BA4"/>
    <w:rsid w:val="006262C0"/>
    <w:rsid w:val="00706977"/>
    <w:rsid w:val="007B7F1D"/>
    <w:rsid w:val="008E410D"/>
    <w:rsid w:val="00960DC0"/>
    <w:rsid w:val="009705BA"/>
    <w:rsid w:val="00974C85"/>
    <w:rsid w:val="009D5BD7"/>
    <w:rsid w:val="00A02CDF"/>
    <w:rsid w:val="00A53229"/>
    <w:rsid w:val="00B12ADF"/>
    <w:rsid w:val="00B873BF"/>
    <w:rsid w:val="00BE1EA8"/>
    <w:rsid w:val="00C364B6"/>
    <w:rsid w:val="00C86617"/>
    <w:rsid w:val="00C9434E"/>
    <w:rsid w:val="00D437B4"/>
    <w:rsid w:val="00DF78EF"/>
    <w:rsid w:val="00E17777"/>
    <w:rsid w:val="00E21589"/>
    <w:rsid w:val="00E25716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semiHidden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2"/>
      <w:lang w:eastAsia="en-US"/>
    </w:rPr>
  </w:style>
  <w:style w:type="paragraph" w:customStyle="1" w:styleId="1">
    <w:name w:val="Знак Знак1"/>
    <w:basedOn w:val="a"/>
    <w:uiPriority w:val="99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link w:val="HTML"/>
    <w:uiPriority w:val="99"/>
    <w:locked/>
    <w:rPr>
      <w:rFonts w:ascii="Courier New" w:hAnsi="Courier New" w:cs="Times New Roman"/>
    </w:rPr>
  </w:style>
  <w:style w:type="table" w:styleId="a8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imes New Roman"/>
      <w:sz w:val="16"/>
      <w:lang w:eastAsia="en-US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character" w:customStyle="1" w:styleId="spelle">
    <w:name w:val="spelle"/>
    <w:uiPriority w:val="99"/>
    <w:rPr>
      <w:rFonts w:cs="Times New Roman"/>
    </w:rPr>
  </w:style>
  <w:style w:type="paragraph" w:customStyle="1" w:styleId="ac">
    <w:name w:val="Стиль"/>
    <w:uiPriority w:val="99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pPr>
      <w:spacing w:after="0" w:line="240" w:lineRule="auto"/>
      <w:ind w:left="5760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lang w:val="ru-RU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Reanimator Extreme Edition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Юрист</dc:creator>
  <cp:keywords/>
  <dc:description/>
  <cp:lastModifiedBy>Elzar</cp:lastModifiedBy>
  <cp:revision>47</cp:revision>
  <cp:lastPrinted>2016-07-28T12:20:00Z</cp:lastPrinted>
  <dcterms:created xsi:type="dcterms:W3CDTF">2016-04-20T09:33:00Z</dcterms:created>
  <dcterms:modified xsi:type="dcterms:W3CDTF">2016-08-12T08:29:00Z</dcterms:modified>
</cp:coreProperties>
</file>